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天津市归国华侨联合会</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天津市归国华侨联合会（简称“天津市侨联”）是中共天津市委领导的,由全市归侨侨眷组成的人民团体。依据《中国侨联章程》本着“以侨为本，为侨服务”的宗旨，独立自主开展活动。 按照中央要求，侨联组织具有围绕中心、服务经济发展大局；依法维护侨胞合法权益；积极参政议政；拓展海外联谊；弘扬中华文化和参与社会建设等六大方面职能。侨联组织有着民间性、涉外性、群众性和统战性四大特点，作为党和政府联系广大归侨侨眷和海外侨胞的桥梁和纽带，是知侨暖侨护侨的“侨胞之家”；作为民间对外交往的窗口，是公共外交的重要渠道；作为国家一级人民团体，是党的群众工作重要组成部分</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部门本级（内设4个职能处室）。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天津市归国华侨联合会</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11378586.89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873452.16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454923.84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12706962.89</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11378586.89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11378586.89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11378586.89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11378586.89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7649795.52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7649795.52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3728791.37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3728791.37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873452.16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873452.16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873452.16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873452.16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582301.44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582301.44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291150.72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291150.72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454923.84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454923.84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454923.84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454923.84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382136.16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382136.16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72787.68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72787.68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天津市归国华侨联合会</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12706962.89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12706962.89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12706962.89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564301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天津市归国华侨联合会</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12706962.89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12706962.89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12706962.89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天津市归国华侨联合会</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564301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天津市归国华侨联合会</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12706962.89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8978171.52</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3728791.37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11378586.89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7649795.52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3728791.37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11378586.89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7649795.52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3728791.37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7649795.52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7649795.52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2012902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3728791.37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3728791.37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873452.16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873452.16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873452.16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873452.16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582301.44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582301.44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291150.72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291150.72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454923.84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454923.84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454923.84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454923.84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382136.16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382136.16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72787.68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72787.68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11378586.89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11378586.89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873452.16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873452.16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454923.84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454923.84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12706962.89</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天津市归国华侨联合会</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12706962.89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8978171.52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8174066.92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804104.60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3728791.37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11378586.89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7649795.52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6845690.92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804104.60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3728791.37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11378586.89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7649795.52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6845690.92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804104.60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3728791.37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7649795.52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7649795.52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6845690.92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804104.60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2012902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3728791.37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3728791.37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873452.16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582301.44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582301.44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582301.44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291150.72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291150.72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291150.72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454923.84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382136.16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382136.16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382136.16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72787.68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72787.68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72787.68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8050588.52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804104.60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1663148.00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19978.91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1546344.00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1296396.00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1435.00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695.20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582301.44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291150.72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365497.22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72787.68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23917.46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1883046.00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8344.00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123478.40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16223.00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123478.40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58149.20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20239.00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268530.00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252510.29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8174066.92</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804104.60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天津市归国华侨联合会2025年度政府性基金预算财政拨款收入支出决算表为空表。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天津市归国华侨联合会2025年度国有资本经营预算财政拨款收入支出决算表为空表。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79892.89</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43430.89</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20239.00</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20239.00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16223.00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天津市归国华侨联合会</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3728791.37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3728791.37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3728791.37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12,706,962.89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增加73,435.22元，增长0.58%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人员增加导致的收支增加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一般公共预算财政拨款收入12,706,962.89元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一般公共服务支出11,378,586.89元、社会保障和就业支出873,452.16元、卫生健康支出454,923.84元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6621"/>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12,706,962.89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增加73,435.22元，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人员增加导致的收支增加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一般公共预算财政拨款收入12,706,962.89元，占100.00%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12,706,962.89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增加73,435.22元，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人员增加导致收支增加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基本支出8,978,171.52元，占70.66%；项目支出3,728,791.37元，占29.34%</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12,706,962.89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增加73,435.22元，增长0.58%，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人员增加导致收支增加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一般公共预算财政拨款12,706,962.89元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一般公共服务支出11,378,586.89元、社会保障和就业支出873,452.16元、卫生健康支出454,923.84元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天津市归国华侨联合会2025年度一般公共预算财政拨款支出合计12,706,962.89元，占本年支出合计的100.00%。与2024年度相比，一般公共预算财政拨款支出</w:t>
      </w:r>
      <w:r>
        <w:rPr>
          <w:rFonts w:eastAsia="仿宋_GB2312" w:hint="eastAsia"/>
          <w:sz w:val="30"/>
          <w:szCs w:val="30"/>
          <w:highlight w:val="none"/>
          <w:lang w:val="en-US" w:eastAsia="zh-CN"/>
        </w:rPr>
        <w:t xml:space="preserve">增加73,435.22元</w:t>
      </w:r>
      <w:r>
        <w:rPr>
          <w:rFonts w:eastAsia="仿宋_GB2312" w:hint="eastAsia"/>
          <w:sz w:val="30"/>
          <w:szCs w:val="30"/>
          <w:highlight w:val="none"/>
          <w:lang w:val="en-US" w:eastAsia="zh-CN"/>
        </w:rPr>
        <w:t xml:space="preserve">，增长0.58%</w:t>
      </w:r>
      <w:r>
        <w:rPr>
          <w:rFonts w:eastAsia="仿宋_GB2312" w:hint="eastAsia"/>
          <w:sz w:val="30"/>
          <w:szCs w:val="30"/>
          <w:highlight w:val="none"/>
          <w:lang w:val="en-US" w:eastAsia="zh-CN"/>
        </w:rPr>
        <w:t xml:space="preserve">，主要原因是人员增加导致收支增加。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2025年度一般公共预算财政拨款支出12,706,962.89元，主要用于以下方面：</w:t>
      </w:r>
      <w:r>
        <w:rPr>
          <w:rFonts w:eastAsia="仿宋_GB2312" w:hint="eastAsia"/>
          <w:sz w:val="30"/>
          <w:szCs w:val="30"/>
          <w:highlight w:val="none"/>
        </w:rPr>
        <w:t xml:space="preserve">一般公共服务支出（类）支出11,378,586.89元，占89.55%，社会保障和就业支出（类）支出873,452.16元，占6.87%，卫生健康支出（类）支出454,923.84元，占3.58%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2025年度一般公共预算财政拨款支出年初预算为11,983,000.00元，支出决算为12,706,962.89元</w:t>
      </w:r>
      <w:r>
        <w:rPr>
          <w:rFonts w:eastAsia="仿宋_GB2312" w:hint="eastAsia"/>
          <w:sz w:val="30"/>
          <w:szCs w:val="30"/>
          <w:highlight w:val="none"/>
          <w:lang w:val="en-US" w:eastAsia="zh-CN"/>
        </w:rPr>
        <w:t xml:space="preserve">，完成年初预算的106.04%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群众团体事务（款）行政运行（项）年初预算为6,974,000.00元，支出决算为7,649,795.52元，完成年初预算的109.69%，决算数大于年初预算数的主要原因是：人员增加导致实际支出较预算有所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群众团体事务（款）一般行政管理事务（项）年初预算为3,703,000.00元，支出决算为3,728,791.37元，完成年初预算的100.70%，决算数大于年初预算数的主要原因是：按照相关工作安排，年中追加因公出国（境）经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572,000.00元，支出决算为582,301.44元，完成年初预算的101.80%，决算数大于年初预算数的主要原因是：人员增加导致实际支出较预算有所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286,000.00元，支出决算为291,150.72元，完成年初预算的101.80%，决算数大于年初预算数的主要原因是：人员增加导致实际支出较预算有所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行政单位医疗（项）年初预算为376,000.00元，支出决算为382,136.16元，完成年初预算的101.63%，决算数大于年初预算数的主要原因是：人员增加导致实际支出较预算有所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公务员医疗补助（项）年初预算为72,000.00元，支出决算为72,787.68元，完成年初预算的101.09%，决算数大于年初预算数的主要原因是：人员增加导致实际支出较预算有所增加。</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天津市归国华侨联合会2025年度一般公共预算财政拨款基本支出合计8,978,171.52元，与2024年度相比</w:t>
      </w:r>
      <w:r>
        <w:rPr>
          <w:rFonts w:eastAsia="仿宋_GB2312" w:hint="eastAsia"/>
          <w:sz w:val="30"/>
          <w:szCs w:val="30"/>
          <w:highlight w:val="none"/>
          <w:lang w:val="en-US" w:eastAsia="zh-CN"/>
        </w:rPr>
        <w:t xml:space="preserve">减少43,350.31元，</w:t>
      </w:r>
      <w:r>
        <w:rPr>
          <w:rFonts w:eastAsia="仿宋_GB2312" w:hint="eastAsia"/>
          <w:sz w:val="30"/>
          <w:szCs w:val="30"/>
          <w:highlight w:val="none"/>
          <w:lang w:val="en-US" w:eastAsia="zh-CN"/>
        </w:rPr>
        <w:t xml:space="preserve">主要原因是严格落实过紧日子要求，严控日常公用经费开支。</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人员经费8,174,066.92元，主要包括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公用经费804,104.60元，主要包括</w:t>
      </w:r>
      <w:r>
        <w:rPr>
          <w:rFonts w:eastAsia="仿宋_GB2312" w:hint="eastAsia"/>
          <w:sz w:val="30"/>
          <w:szCs w:val="30"/>
          <w:highlight w:val="none"/>
          <w:lang w:val="en-US" w:eastAsia="zh-CN"/>
        </w:rPr>
        <w:t xml:space="preserve">办公费、手续费、水费、电费、邮电费、差旅费、会议费、公务接待费、工会经费、福利费、公务用车运行维护费、其他交通费用、其他商品和服务支出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104,525.00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79,892.89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减少24,632.11元</w:t>
      </w:r>
      <w:r>
        <w:rPr>
          <w:rFonts w:eastAsia="仿宋_GB2312" w:hint="eastAsia"/>
          <w:sz w:val="30"/>
          <w:szCs w:val="30"/>
          <w:highlight w:val="none"/>
          <w:lang w:val="en-US" w:eastAsia="zh-CN"/>
        </w:rPr>
        <w:t xml:space="preserve">，完成预算的76.43%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支出决算较上年增加25,060.57元</w:t>
      </w:r>
      <w:r>
        <w:rPr>
          <w:rFonts w:eastAsia="仿宋_GB2312" w:hint="eastAsia"/>
          <w:sz w:val="30"/>
          <w:szCs w:val="30"/>
          <w:highlight w:val="none"/>
          <w:lang w:val="en-US" w:eastAsia="zh-CN"/>
        </w:rPr>
        <w:t xml:space="preserve">，增长45.70%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决算数小于预算数的主要原因是厉行节约，严格落实过紧日子要求，对公务接待、公务用车、因公出国（境）经费进行压缩，严控支出；</w:t>
      </w:r>
      <w:r>
        <w:rPr>
          <w:rFonts w:eastAsia="仿宋_GB2312" w:hint="eastAsia"/>
          <w:sz w:val="30"/>
          <w:szCs w:val="30"/>
          <w:highlight w:val="none"/>
          <w:lang w:val="en-US" w:eastAsia="zh-CN"/>
        </w:rPr>
        <w:t xml:space="preserve">决算数较上年增加的主要原因是本部门本年度有1次因公出国（境）活动，因公出国费支出增加。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50,525.00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43,430.89</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减少7,094.11元</w:t>
      </w:r>
      <w:r>
        <w:rPr>
          <w:rFonts w:eastAsia="仿宋_GB2312" w:hint="eastAsia"/>
          <w:sz w:val="30"/>
          <w:szCs w:val="30"/>
          <w:highlight w:val="none"/>
          <w:lang w:val="en-US" w:eastAsia="zh-CN"/>
        </w:rPr>
        <w:t xml:space="preserve">，完成预算的85.96%</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支出决算较上年增加24,424.57元</w:t>
      </w:r>
      <w:r>
        <w:rPr>
          <w:rFonts w:eastAsia="仿宋_GB2312" w:hint="eastAsia"/>
          <w:sz w:val="30"/>
          <w:szCs w:val="30"/>
          <w:highlight w:val="none"/>
          <w:lang w:val="en-US" w:eastAsia="zh-CN"/>
        </w:rPr>
        <w:t xml:space="preserve">，增长128.51%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决算数小于预算数的主要原因是厉行节约，压缩了出访天数，节约因公出国（境）费；</w:t>
      </w:r>
      <w:r>
        <w:rPr>
          <w:rFonts w:eastAsia="仿宋_GB2312" w:hint="eastAsia"/>
          <w:sz w:val="30"/>
          <w:szCs w:val="30"/>
          <w:highlight w:val="none"/>
          <w:lang w:val="en-US" w:eastAsia="zh-CN"/>
        </w:rPr>
        <w:t xml:space="preserve">决算数较上年增加的主要原因是因公出国（境）的天数和地区差异，支出较上年增加，因公出国（境）费增加。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34,000.00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20,239.00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减少13,761.00元</w:t>
      </w:r>
      <w:r>
        <w:rPr>
          <w:rFonts w:eastAsia="仿宋_GB2312" w:hint="eastAsia"/>
          <w:sz w:val="30"/>
          <w:szCs w:val="30"/>
          <w:highlight w:val="none"/>
          <w:lang w:val="en-US" w:eastAsia="zh-CN"/>
        </w:rPr>
        <w:t xml:space="preserve">，完成预算的59.53%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支出决算较上年减少6,614.00元</w:t>
      </w:r>
      <w:r>
        <w:rPr>
          <w:rFonts w:eastAsia="仿宋_GB2312" w:hint="eastAsia"/>
          <w:sz w:val="30"/>
          <w:szCs w:val="30"/>
          <w:highlight w:val="none"/>
          <w:lang w:val="en-US" w:eastAsia="zh-CN"/>
        </w:rPr>
        <w:t xml:space="preserve">，下降24.63%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决算数小于预算数的主要原因是厉行节约，严格公务用车管理，压减公务用车运行维护费支出；</w:t>
      </w:r>
      <w:r>
        <w:rPr>
          <w:rFonts w:eastAsia="仿宋_GB2312" w:hint="eastAsia"/>
          <w:sz w:val="30"/>
          <w:szCs w:val="30"/>
          <w:highlight w:val="none"/>
          <w:lang w:val="en-US" w:eastAsia="zh-CN"/>
        </w:rPr>
        <w:t xml:space="preserve">决算数较上年减少的主要原因是厉行节约，严格公务用车管理，合理安排公务用车使用，压减公务用车运行维护费支出。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34,000.00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20,239.00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减少13,761.00元</w:t>
      </w:r>
      <w:r>
        <w:rPr>
          <w:rFonts w:eastAsia="仿宋_GB2312" w:hint="eastAsia"/>
          <w:sz w:val="30"/>
          <w:szCs w:val="30"/>
          <w:highlight w:val="none"/>
          <w:lang w:val="en-US" w:eastAsia="zh-CN"/>
        </w:rPr>
        <w:t xml:space="preserve">，完成预算的59.53%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支出决算较上年减少6,614.00元</w:t>
      </w:r>
      <w:r>
        <w:rPr>
          <w:rFonts w:eastAsia="仿宋_GB2312" w:hint="eastAsia"/>
          <w:sz w:val="30"/>
          <w:szCs w:val="30"/>
          <w:highlight w:val="none"/>
          <w:lang w:val="en-US" w:eastAsia="zh-CN"/>
        </w:rPr>
        <w:t xml:space="preserve">，下降24.63%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决算数小于预算数的主要原因是厉行节约，严格公务用车管理，压减公务用车运行维护费支出；</w:t>
      </w:r>
      <w:r>
        <w:rPr>
          <w:rFonts w:eastAsia="仿宋_GB2312" w:hint="eastAsia"/>
          <w:sz w:val="30"/>
          <w:szCs w:val="30"/>
          <w:highlight w:val="none"/>
          <w:lang w:val="en-US" w:eastAsia="zh-CN"/>
        </w:rPr>
        <w:t xml:space="preserve">决算数较上年减少的主要原因是厉行节约，严格公务用车管理，合理安排公务用车使用，压减公务用车运行维护费支出。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16,223.00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减少3,777.00元</w:t>
      </w:r>
      <w:r>
        <w:rPr>
          <w:rFonts w:eastAsia="仿宋_GB2312" w:hint="eastAsia"/>
          <w:sz w:val="30"/>
          <w:szCs w:val="30"/>
          <w:highlight w:val="none"/>
          <w:lang w:val="en-US" w:eastAsia="zh-CN"/>
        </w:rPr>
        <w:t xml:space="preserve">，完成预算的81.12%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支出决算较上年增加7,250.00元</w:t>
      </w:r>
      <w:r>
        <w:rPr>
          <w:rFonts w:eastAsia="仿宋_GB2312" w:hint="eastAsia"/>
          <w:sz w:val="30"/>
          <w:szCs w:val="30"/>
          <w:highlight w:val="none"/>
          <w:lang w:val="en-US" w:eastAsia="zh-CN"/>
        </w:rPr>
        <w:t xml:space="preserve">，增长80.80%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决算数小于预算数的主要原因是厉行节约，严格按照预算执行，严控公务接待费支出；</w:t>
      </w:r>
      <w:r>
        <w:rPr>
          <w:rFonts w:eastAsia="仿宋_GB2312" w:hint="eastAsia"/>
          <w:sz w:val="30"/>
          <w:szCs w:val="30"/>
          <w:highlight w:val="none"/>
          <w:lang w:val="en-US" w:eastAsia="zh-CN"/>
        </w:rPr>
        <w:t xml:space="preserve">决算数较上年增加的主要原因是本年新增马来西亚汉文化中心访津团接待等活动，接待人次较上年增加，公务接待费支出增加。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9</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83</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39</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归国华侨联合会2025年度机关运行经费年初预算811,000.00元，决算数804,104.60元，与年初预算相比</w:t>
      </w:r>
      <w:r>
        <w:rPr>
          <w:rFonts w:eastAsia="仿宋_GB2312" w:hint="eastAsia"/>
          <w:sz w:val="30"/>
          <w:szCs w:val="30"/>
          <w:highlight w:val="none"/>
          <w:lang w:val="en-US" w:eastAsia="zh-CN"/>
        </w:rPr>
        <w:t xml:space="preserve">减少6,895.40元，</w:t>
      </w:r>
      <w:r>
        <w:rPr>
          <w:rFonts w:eastAsia="仿宋_GB2312" w:hint="eastAsia"/>
          <w:sz w:val="30"/>
          <w:szCs w:val="30"/>
          <w:highlight w:val="none"/>
          <w:lang w:val="en-US" w:eastAsia="zh-CN"/>
        </w:rPr>
        <w:t xml:space="preserve">完成年初预算的99.15%；</w:t>
      </w:r>
      <w:r>
        <w:rPr>
          <w:rFonts w:eastAsia="仿宋_GB2312" w:hint="eastAsia"/>
          <w:sz w:val="30"/>
          <w:szCs w:val="30"/>
          <w:highlight w:val="none"/>
          <w:lang w:val="en-US" w:eastAsia="zh-CN"/>
        </w:rPr>
        <w:t xml:space="preserve">比2024年减少43,092.36元</w:t>
      </w:r>
      <w:r>
        <w:rPr>
          <w:rFonts w:eastAsia="仿宋_GB2312" w:hint="eastAsia"/>
          <w:sz w:val="30"/>
          <w:szCs w:val="30"/>
          <w:highlight w:val="none"/>
          <w:lang w:val="en-US" w:eastAsia="zh-CN"/>
        </w:rPr>
        <w:t xml:space="preserve">，下降5.09%</w:t>
      </w:r>
      <w:r>
        <w:rPr>
          <w:rFonts w:eastAsia="仿宋_GB2312" w:hint="eastAsia"/>
          <w:sz w:val="30"/>
          <w:szCs w:val="30"/>
          <w:highlight w:val="none"/>
          <w:lang w:val="en-US" w:eastAsia="zh-CN"/>
        </w:rPr>
        <w:t xml:space="preserve">。主要原因是：严格落实过紧日子要求，严控日常公用经费开支。</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政府采购支出总额39,570.00元，其中：政府采购货物支出39,570.00元、政府采购工程支出0.00元、政府采购服务支出0.00元。授予中小企业合同金额39,570.00元，占政府采购支出总额的100.00%，其中：授予小微企业合同金额0.00元，占政府采购支出总额的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天津市归国华侨联合会2025年度无国有资产占有使用情况。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根据预算绩效管理要求，天津市归国华侨联合会已对5个2025年度市级项目开展绩效自评，涉及金额3,703,000.00元，自评结果已随部门决算一并公开。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天津市归国华侨联合会不属于乡、镇、街级单位，不涉及公开2025年度教育、医疗卫生、社会保障和就业、住房保障、涉农补贴等民生支出情况。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22BF396-6D27-46DE-9D0D-CABB709D9F08}"/>
    <w:embedBold r:id="rId2" w:subsetted="1" w:fontKey="{2274A638-88CB-4663-BA24-4D893275527A}"/>
  </w:font>
  <w:font w:name="Cambria">
    <w:panose1 w:val="02040503050406030204"/>
    <w:charset w:val="00"/>
    <w:family w:val="roman"/>
    <w:pitch w:val="default"/>
    <w:sig w:usb0="E00006FF" w:usb1="420024FF" w:usb2="02000000" w:usb3="00000000" w:csb0="2000019F" w:csb1="00000000"/>
    <w:embedRegular r:id="rId3" w:fontKey="{0CB8CECB-0483-4CCC-8A8A-3B50FA299864}"/>
  </w:font>
  <w:font w:name="Calibri">
    <w:panose1 w:val="020F0502020204030204"/>
    <w:charset w:val="00"/>
    <w:family w:val="swiss"/>
    <w:pitch w:val="default"/>
    <w:sig w:usb0="E4002EFF" w:usb1="C200247B" w:usb2="00000009" w:usb3="00000000" w:csb0="200001FF" w:csb1="00000000"/>
    <w:embedRegular r:id="rId4" w:fontKey="{008A1E7A-86CD-4E2E-B68B-01E66D980AAA}"/>
  </w:font>
  <w:font w:name="黑体">
    <w:panose1 w:val="02010609060101010101"/>
    <w:charset w:val="FFFFFF86"/>
    <w:family w:val="auto"/>
    <w:pitch w:val="default"/>
    <w:sig w:usb0="800002BF" w:usb1="38CF7CFA" w:usb2="00000016" w:usb3="00000000" w:csb0="00040001" w:csb1="00000000"/>
    <w:embedRegular r:id="rId5" w:subsetted="1" w:fontKey="{766B516F-22CE-4E65-82B9-4AC303165EF3}"/>
    <w:embedBold r:id="rId6" w:subsetted="1" w:fontKey="{9DBB524A-26C2-47A4-B09C-8FB6E84398F8}"/>
  </w:font>
  <w:font w:name="方正小标宋简体">
    <w:altName w:val="黑体"/>
    <w:panose1 w:val="02000000000000000000"/>
    <w:charset w:val="FFFFFF86"/>
    <w:family w:val="auto"/>
    <w:pitch w:val="default"/>
    <w:sig w:usb0="00000001" w:usb1="08000000" w:usb2="00000000" w:usb3="00000000" w:csb0="00040000" w:csb1="00000000"/>
    <w:embedRegular r:id="rId7" w:fontKey="{63B66239-186D-4D54-9361-AAD0A1DB10AF}"/>
    <w:embedBold r:id="rId8" w:fontKey="{B2907C28-66CD-4AC2-A292-79FD426A850A}"/>
  </w:font>
  <w:font w:name="仿宋">
    <w:panose1 w:val="02010609060101010101"/>
    <w:charset w:val="FFFFFF86"/>
    <w:family w:val="auto"/>
    <w:pitch w:val="default"/>
    <w:sig w:usb0="800002BF" w:usb1="38CF7CFA" w:usb2="00000016" w:usb3="00000000" w:csb0="00040001" w:csb1="00000000"/>
    <w:embedRegular r:id="rId9" w:subsetted="1" w:fontKey="{24EFB986-6823-4F78-B85A-63FA92650033}"/>
  </w:font>
  <w:font w:name="方正仿宋_GB2312">
    <w:altName w:val="仿宋"/>
    <w:panose1 w:val="02000000000000000000"/>
    <w:charset w:val="FFFFFF86"/>
    <w:family w:val="auto"/>
    <w:pitch w:val="default"/>
    <w:sig w:usb0="A00002BF" w:usb1="184F6CFA" w:usb2="00000012" w:usb3="00000000" w:csb0="00040001" w:csb1="00000000"/>
    <w:embedRegular r:id="rId10" w:fontKey="{E1B54FF3-9751-4116-8677-7F02EF4C8F71}"/>
  </w:font>
  <w:font w:name="仿宋_GB2312">
    <w:altName w:val="仿宋"/>
    <w:panose1 w:val="02010609030101010101"/>
    <w:charset w:val="FFFFFF86"/>
    <w:family w:val="auto"/>
    <w:pitch w:val="default"/>
    <w:sig w:usb0="00000001" w:usb1="080E0000" w:usb2="00000000" w:usb3="00000000" w:csb0="00040000" w:csb1="00000000"/>
    <w:embedRegular r:id="rId11" w:fontKey="{C6D47CAB-82FD-42A4-A3E6-C75131966831}"/>
  </w:font>
  <w:font w:name="方正楷体_GB2312">
    <w:altName w:val="宋体"/>
    <w:panose1 w:val="02000000000000000000"/>
    <w:charset w:val="FFFFFF86"/>
    <w:family w:val="auto"/>
    <w:pitch w:val="default"/>
    <w:sig w:usb0="A00002BF" w:usb1="184F6CFA" w:usb2="00000012" w:usb3="00000000" w:csb0="00040001" w:csb1="00000000"/>
    <w:embedRegular r:id="rId12" w:fontKey="{4352F07B-D18C-4562-BA57-F1F086F50D58}"/>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DAC96B93-3C2E-4D96-86EB-C307126B13A0}"/>
    <w:embedBold r:id="rId14" w:subsetted="1" w:fontKey="{91F39161-6E00-4970-80CA-511F06EFA16A}"/>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28</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31</Pages>
  <Words>636</Words>
  <Characters>917</Characters>
  <Application>WPS Office_12.1.0.28043_F1E327BC-269C-435d-A152-05C5408002CA</Application>
  <DocSecurity>0</DocSecurity>
  <Lines>60</Lines>
  <Paragraphs>16</Paragraphs>
  <ScaleCrop>false</ScaleCrop>
  <Company>Microsoft</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2026-08-18T02:10:34Z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